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lef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9D5CD8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«Социальные и спортивные педагогические технологии</w:t>
            </w:r>
            <w:r w:rsidR="00F316F9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 w:rsidP="00447160">
      <w:pPr>
        <w:spacing w:line="240" w:lineRule="auto"/>
        <w:ind w:firstLine="0"/>
        <w:jc w:val="left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Составитель </w:t>
      </w:r>
      <w:r w:rsidRPr="00356E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="00C51C22">
        <w:rPr>
          <w:rFonts w:ascii="Times New Roman" w:hAnsi="Times New Roman"/>
          <w:sz w:val="28"/>
          <w:szCs w:val="28"/>
        </w:rPr>
        <w:t xml:space="preserve"> </w:t>
      </w:r>
      <w:r w:rsidR="00111B93">
        <w:rPr>
          <w:rFonts w:ascii="Times New Roman" w:hAnsi="Times New Roman"/>
          <w:sz w:val="28"/>
          <w:szCs w:val="28"/>
        </w:rPr>
        <w:t>кандидат педагогичес</w:t>
      </w:r>
      <w:r w:rsidR="009D5CD8">
        <w:rPr>
          <w:rFonts w:ascii="Times New Roman" w:hAnsi="Times New Roman"/>
          <w:sz w:val="28"/>
          <w:szCs w:val="28"/>
        </w:rPr>
        <w:t>ких наук, доцент Айвазова Е.С.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Методические указания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 задания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 контрольной работе</w:t>
      </w:r>
    </w:p>
    <w:p w:rsidR="00627538" w:rsidRDefault="00F316F9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627538" w:rsidRPr="0062753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«Материально-техническое обеспечение спорта высших достижений»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для студентов заочной формы обучения </w:t>
      </w: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>
      <w:pPr>
        <w:widowControl w:val="0"/>
        <w:autoSpaceDE w:val="0"/>
        <w:spacing w:line="240" w:lineRule="auto"/>
        <w:ind w:firstLine="0"/>
        <w:jc w:val="center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подготовки </w:t>
      </w:r>
      <w:r w:rsidR="009D5CD8">
        <w:rPr>
          <w:rFonts w:ascii="Times New Roman" w:eastAsia="Times New Roman" w:hAnsi="Times New Roman"/>
          <w:color w:val="000000"/>
          <w:sz w:val="28"/>
          <w:szCs w:val="28"/>
        </w:rPr>
        <w:t>44.04.04 Профессиональное обучение (по отраслям) профиль «Подготовка специалистов по работе со спортсменами на этапе высшего спортивного мастерства»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 w:rsidP="00414347">
      <w:pPr>
        <w:widowControl w:val="0"/>
        <w:autoSpaceDE w:val="0"/>
        <w:spacing w:line="240" w:lineRule="auto"/>
        <w:ind w:firstLine="0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613A39" w:rsidRDefault="00613A39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613A39" w:rsidRDefault="00613A39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613A39" w:rsidRDefault="00613A39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613A39" w:rsidRDefault="00613A39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F316F9" w:rsidP="00356E35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г. Ростов-на-Дону</w:t>
      </w:r>
    </w:p>
    <w:p w:rsidR="00A55B2F" w:rsidRDefault="009D5CD8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2025-2026</w:t>
      </w:r>
      <w:r w:rsidR="00267F0B">
        <w:rPr>
          <w:rFonts w:ascii="Times New Roman" w:hAnsi="Times New Roman"/>
          <w:bCs/>
          <w:sz w:val="28"/>
          <w:szCs w:val="28"/>
          <w:lang w:eastAsia="ru-RU"/>
        </w:rPr>
        <w:t xml:space="preserve"> уч.</w:t>
      </w:r>
      <w:r w:rsidR="00F316F9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0C37D4" w:rsidRDefault="000C37D4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C37D4" w:rsidRDefault="000C37D4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0C37D4" w:rsidRDefault="000C37D4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A55B2F" w:rsidRDefault="00A55B2F" w:rsidP="00356E35">
      <w:pPr>
        <w:widowControl w:val="0"/>
        <w:autoSpaceDE w:val="0"/>
        <w:spacing w:line="240" w:lineRule="auto"/>
        <w:contextualSpacing/>
        <w:rPr>
          <w:rFonts w:ascii="Arial" w:hAnsi="Arial" w:cs="Arial"/>
          <w:sz w:val="20"/>
          <w:szCs w:val="20"/>
          <w:lang w:eastAsia="ru-RU"/>
        </w:rPr>
      </w:pPr>
    </w:p>
    <w:p w:rsidR="00A55B2F" w:rsidRDefault="00F316F9" w:rsidP="00267F0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A55B2F" w:rsidRDefault="00F316F9" w:rsidP="00267F0B">
      <w:pPr>
        <w:spacing w:line="240" w:lineRule="auto"/>
        <w:contextualSpacing/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подготовки </w:t>
      </w:r>
      <w:r w:rsidR="00267F0B" w:rsidRPr="00267F0B">
        <w:rPr>
          <w:rFonts w:ascii="Times New Roman" w:eastAsia="Times New Roman" w:hAnsi="Times New Roman"/>
          <w:color w:val="000000"/>
          <w:sz w:val="28"/>
          <w:szCs w:val="28"/>
        </w:rPr>
        <w:t>44.04.04 Профессиональное обучение (по отраслям)</w:t>
      </w:r>
    </w:p>
    <w:p w:rsidR="00A55B2F" w:rsidRDefault="00A55B2F" w:rsidP="00356E35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A55B2F" w:rsidRDefault="00F316F9" w:rsidP="00267F0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267F0B">
      <w:pPr>
        <w:pStyle w:val="a3"/>
        <w:numPr>
          <w:ilvl w:val="0"/>
          <w:numId w:val="2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1</w:t>
      </w:r>
      <w:r w:rsidRPr="00447160">
        <w:rPr>
          <w:rFonts w:ascii="Times New Roman" w:hAnsi="Times New Roman"/>
          <w:sz w:val="28"/>
          <w:szCs w:val="28"/>
        </w:rPr>
        <w:t xml:space="preserve"> – Список 1: 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3</w:t>
      </w:r>
      <w:r w:rsidRPr="00447160">
        <w:rPr>
          <w:rFonts w:ascii="Times New Roman" w:hAnsi="Times New Roman"/>
          <w:sz w:val="28"/>
          <w:szCs w:val="28"/>
        </w:rPr>
        <w:t xml:space="preserve"> - список 2);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 w:rsidRPr="00447160">
        <w:rPr>
          <w:rFonts w:ascii="Times New Roman" w:hAnsi="Times New Roman"/>
          <w:b/>
          <w:sz w:val="28"/>
          <w:szCs w:val="28"/>
        </w:rPr>
        <w:t>Приложение 2</w:t>
      </w:r>
      <w:r w:rsidRPr="00447160">
        <w:rPr>
          <w:rFonts w:ascii="Times New Roman" w:hAnsi="Times New Roman"/>
          <w:sz w:val="28"/>
          <w:szCs w:val="28"/>
        </w:rPr>
        <w:t>, таблица 1, столбец №3).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111B93" w:rsidRDefault="003F3191" w:rsidP="00111B93">
      <w:pPr>
        <w:spacing w:line="240" w:lineRule="auto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627538" w:rsidRPr="0062753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«Материально-техническое обеспечение спорта высших достижений»</w:t>
      </w:r>
    </w:p>
    <w:p w:rsidR="003F3191" w:rsidRDefault="003F3191" w:rsidP="003F3191">
      <w:pPr>
        <w:spacing w:line="240" w:lineRule="auto"/>
        <w:ind w:firstLine="0"/>
        <w:jc w:val="center"/>
      </w:pPr>
    </w:p>
    <w:p w:rsidR="00267F0B" w:rsidRDefault="00267F0B">
      <w:pPr>
        <w:tabs>
          <w:tab w:val="left" w:pos="1134"/>
        </w:tabs>
        <w:ind w:left="1134" w:right="-57" w:hanging="567"/>
        <w:jc w:val="center"/>
      </w:pPr>
    </w:p>
    <w:p w:rsidR="00A55B2F" w:rsidRDefault="00F316F9" w:rsidP="00044E52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</w:t>
      </w:r>
      <w:r w:rsidR="00F316F9">
        <w:rPr>
          <w:rFonts w:ascii="Times New Roman" w:hAnsi="Times New Roman"/>
          <w:b/>
          <w:bCs/>
          <w:iCs/>
          <w:sz w:val="28"/>
          <w:szCs w:val="28"/>
        </w:rPr>
        <w:t>Подготовка контрольной работы.</w:t>
      </w:r>
    </w:p>
    <w:p w:rsidR="00A55B2F" w:rsidRDefault="00F316F9" w:rsidP="00356E35">
      <w:pPr>
        <w:autoSpaceDE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A55B2F" w:rsidRPr="002D7403" w:rsidRDefault="002D7403">
      <w:pPr>
        <w:rPr>
          <w:rFonts w:ascii="Times New Roman" w:hAnsi="Times New Roman"/>
          <w:b/>
          <w:sz w:val="28"/>
          <w:szCs w:val="28"/>
        </w:rPr>
      </w:pPr>
      <w:r w:rsidRPr="002D7403">
        <w:rPr>
          <w:rFonts w:ascii="Times New Roman" w:hAnsi="Times New Roman"/>
          <w:b/>
          <w:sz w:val="28"/>
          <w:szCs w:val="28"/>
        </w:rPr>
        <w:t>Теоретическая часть</w:t>
      </w:r>
    </w:p>
    <w:p w:rsidR="00A55B2F" w:rsidRDefault="00F316F9" w:rsidP="00356E35">
      <w:pPr>
        <w:tabs>
          <w:tab w:val="left" w:pos="0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 Классификация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2 Классификация сооружений для легкой атлетики.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3 Требования к легкоатлетическим сооружениям.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4 Классификация сооружений для игровых видов спорта.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5 Требования к условиям содержания строительных конструкций, частей зданий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(фундаменты, подвальные помещения, стены, фасады).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6 Техника безопасности при эксплуатации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7 Санитарный контроль за спортивными сооружениями.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8 Капитальный и текущий ремонт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9 Организация эксплуатации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10 Классификация сооружений для водных видов спорта.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11 Порядок расследования и учета несчастных случаев при занятиях физическими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упражнениями.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12 Основные группы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13 Организация строительства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14 Документы спортивного сооружения.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15 Этапы подготовки к проектированию спортсооружений.</w:t>
      </w:r>
    </w:p>
    <w:p w:rsidR="00111B93" w:rsidRDefault="00111B93" w:rsidP="00356E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6159F4" w:rsidRDefault="006159F4" w:rsidP="00627538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55B2F" w:rsidRDefault="00F316F9" w:rsidP="00356E35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A55B2F" w:rsidRDefault="002D7403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выполнения контрольной работы магистранту</w:t>
      </w:r>
      <w:r w:rsidR="00F316F9">
        <w:rPr>
          <w:rFonts w:ascii="Times New Roman" w:hAnsi="Times New Roman"/>
          <w:sz w:val="28"/>
          <w:szCs w:val="28"/>
        </w:rPr>
        <w:t xml:space="preserve">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2D7403" w:rsidRDefault="002D7403" w:rsidP="00356E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D7403" w:rsidRDefault="002D7403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Контрольная работа включает в себя две части: первая – теоретическая часть (выбор двух тем и их детальное рассмотрение с самостоятельными умозаключениями; вторая – практическая часть, предполагающая выполнение ряда практических заданий.</w:t>
      </w:r>
    </w:p>
    <w:p w:rsidR="002D7403" w:rsidRPr="002D7403" w:rsidRDefault="002D7403" w:rsidP="00356E3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D7403">
        <w:rPr>
          <w:rFonts w:ascii="Times New Roman" w:hAnsi="Times New Roman"/>
          <w:b/>
          <w:sz w:val="28"/>
          <w:szCs w:val="28"/>
        </w:rPr>
        <w:t>Практическая часть</w:t>
      </w:r>
    </w:p>
    <w:p w:rsidR="002D7403" w:rsidRPr="006159F4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Задание – составить эссе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1. Спортивные сооружения основные, вспомогательные, отдельные, комплексные, крытые, открытые, объемные, плоскостные, уникальные, спортивные сооружения для зрителей.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2. Планирование сети спортивных сооружений в сельской местности.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3. Подготовка к проектированию. Этапы подготовки и их содержание.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4. Технические и экономические, строительно-технологические и санитарные требования.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5. Приемы, средства и стадии проектирования.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6. Организационные основы эксплуатации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7 Права и обязанности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8. Паспорт спортивных сооружений.</w:t>
      </w:r>
    </w:p>
    <w:p w:rsidR="006159F4" w:rsidRPr="006159F4" w:rsidRDefault="006159F4" w:rsidP="006159F4">
      <w:pPr>
        <w:spacing w:line="240" w:lineRule="auto"/>
        <w:rPr>
          <w:rFonts w:ascii="Times New Roman" w:hAnsi="Times New Roman"/>
          <w:sz w:val="28"/>
          <w:szCs w:val="28"/>
        </w:rPr>
      </w:pPr>
      <w:r w:rsidRPr="006159F4">
        <w:rPr>
          <w:rFonts w:ascii="Times New Roman" w:hAnsi="Times New Roman"/>
          <w:sz w:val="28"/>
          <w:szCs w:val="28"/>
        </w:rPr>
        <w:t>9.  Планирование деятельности спортивных сооружений – перспективное, текущее и оперативное.</w:t>
      </w:r>
    </w:p>
    <w:p w:rsidR="006159F4" w:rsidRDefault="006159F4" w:rsidP="006159F4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D7403" w:rsidRPr="002D7403" w:rsidRDefault="002D7403" w:rsidP="002D740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D7403">
        <w:rPr>
          <w:rFonts w:ascii="Times New Roman" w:hAnsi="Times New Roman"/>
          <w:b/>
          <w:sz w:val="28"/>
          <w:szCs w:val="28"/>
        </w:rPr>
        <w:t>Требования к выполнению данного задания: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Текст должен содержать: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Вводную часть: значение исследуемых научных фактов в теории и практике.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Основную часть: анализ и обобщение материала, разъяснение собственной позиции.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Выводы и рекомендации. Работа обязательно должна содержать в себе ответы на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вопросы, поставленные вводной частью, демонстрировать конкретные выводы.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Порядок выполнения задания: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составить план эссе (или аннотации);</w:t>
      </w:r>
    </w:p>
    <w:p w:rsidR="002D7403" w:rsidRPr="002D7403" w:rsidRDefault="002D7403" w:rsidP="00A83222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подобрать и</w:t>
      </w:r>
      <w:r w:rsidR="00A83222">
        <w:rPr>
          <w:rFonts w:ascii="Times New Roman" w:hAnsi="Times New Roman"/>
          <w:sz w:val="28"/>
          <w:szCs w:val="28"/>
        </w:rPr>
        <w:t xml:space="preserve"> </w:t>
      </w:r>
      <w:r w:rsidRPr="002D7403">
        <w:rPr>
          <w:rFonts w:ascii="Times New Roman" w:hAnsi="Times New Roman"/>
          <w:sz w:val="28"/>
          <w:szCs w:val="28"/>
        </w:rPr>
        <w:t>изучить источники по теме, содержащуюся в них информацию;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систематизировать и проанализировать собранную информацию по проблеме;</w:t>
      </w:r>
    </w:p>
    <w:p w:rsidR="002D7403" w:rsidRPr="002D7403" w:rsidRDefault="002D7403" w:rsidP="00A83222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лаконично, но емко раскрыть содержание проблемы, заявленной в эссе (или аннотации),и свои подходы к ее решению;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sym w:font="Symbol" w:char="F0B7"/>
      </w:r>
      <w:r w:rsidRPr="002D7403">
        <w:rPr>
          <w:rFonts w:ascii="Times New Roman" w:hAnsi="Times New Roman"/>
          <w:sz w:val="28"/>
          <w:szCs w:val="28"/>
        </w:rPr>
        <w:t xml:space="preserve"> оформить эссе (или аннотацию) и сдать в установленный срок.</w:t>
      </w:r>
    </w:p>
    <w:p w:rsidR="002D7403" w:rsidRPr="00A83222" w:rsidRDefault="002D7403" w:rsidP="002D740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83222">
        <w:rPr>
          <w:rFonts w:ascii="Times New Roman" w:hAnsi="Times New Roman"/>
          <w:b/>
          <w:sz w:val="28"/>
          <w:szCs w:val="28"/>
        </w:rPr>
        <w:t>Структура эссе (или аннотации)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1</w:t>
      </w:r>
      <w:r w:rsidR="00A83222">
        <w:rPr>
          <w:rFonts w:ascii="Times New Roman" w:hAnsi="Times New Roman"/>
          <w:sz w:val="28"/>
          <w:szCs w:val="28"/>
        </w:rPr>
        <w:t>.</w:t>
      </w:r>
      <w:r w:rsidRPr="002D7403">
        <w:rPr>
          <w:rFonts w:ascii="Times New Roman" w:hAnsi="Times New Roman"/>
          <w:sz w:val="28"/>
          <w:szCs w:val="28"/>
        </w:rPr>
        <w:t xml:space="preserve"> Титульный лист.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2</w:t>
      </w:r>
      <w:r w:rsidR="00A83222">
        <w:rPr>
          <w:rFonts w:ascii="Times New Roman" w:hAnsi="Times New Roman"/>
          <w:sz w:val="28"/>
          <w:szCs w:val="28"/>
        </w:rPr>
        <w:t>.</w:t>
      </w:r>
      <w:r w:rsidRPr="002D7403">
        <w:rPr>
          <w:rFonts w:ascii="Times New Roman" w:hAnsi="Times New Roman"/>
          <w:sz w:val="28"/>
          <w:szCs w:val="28"/>
        </w:rPr>
        <w:t xml:space="preserve"> План.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3</w:t>
      </w:r>
      <w:r w:rsidR="00A83222">
        <w:rPr>
          <w:rFonts w:ascii="Times New Roman" w:hAnsi="Times New Roman"/>
          <w:sz w:val="28"/>
          <w:szCs w:val="28"/>
        </w:rPr>
        <w:t>.</w:t>
      </w:r>
      <w:r w:rsidRPr="002D7403">
        <w:rPr>
          <w:rFonts w:ascii="Times New Roman" w:hAnsi="Times New Roman"/>
          <w:sz w:val="28"/>
          <w:szCs w:val="28"/>
        </w:rPr>
        <w:t xml:space="preserve"> Введение.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4</w:t>
      </w:r>
      <w:r w:rsidR="00A83222">
        <w:rPr>
          <w:rFonts w:ascii="Times New Roman" w:hAnsi="Times New Roman"/>
          <w:sz w:val="28"/>
          <w:szCs w:val="28"/>
        </w:rPr>
        <w:t>.</w:t>
      </w:r>
      <w:r w:rsidRPr="002D7403">
        <w:rPr>
          <w:rFonts w:ascii="Times New Roman" w:hAnsi="Times New Roman"/>
          <w:sz w:val="28"/>
          <w:szCs w:val="28"/>
        </w:rPr>
        <w:t xml:space="preserve"> Основная часть.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5</w:t>
      </w:r>
      <w:r w:rsidR="00A83222">
        <w:rPr>
          <w:rFonts w:ascii="Times New Roman" w:hAnsi="Times New Roman"/>
          <w:sz w:val="28"/>
          <w:szCs w:val="28"/>
        </w:rPr>
        <w:t>.</w:t>
      </w:r>
      <w:r w:rsidRPr="002D7403">
        <w:rPr>
          <w:rFonts w:ascii="Times New Roman" w:hAnsi="Times New Roman"/>
          <w:sz w:val="28"/>
          <w:szCs w:val="28"/>
        </w:rPr>
        <w:t xml:space="preserve"> Заключение.</w:t>
      </w:r>
    </w:p>
    <w:p w:rsidR="002D7403" w:rsidRPr="002D7403" w:rsidRDefault="002D7403" w:rsidP="002D7403">
      <w:pPr>
        <w:spacing w:line="240" w:lineRule="auto"/>
        <w:rPr>
          <w:rFonts w:ascii="Times New Roman" w:hAnsi="Times New Roman"/>
          <w:sz w:val="28"/>
          <w:szCs w:val="28"/>
        </w:rPr>
      </w:pPr>
      <w:r w:rsidRPr="002D7403">
        <w:rPr>
          <w:rFonts w:ascii="Times New Roman" w:hAnsi="Times New Roman"/>
          <w:sz w:val="28"/>
          <w:szCs w:val="28"/>
        </w:rPr>
        <w:t>6</w:t>
      </w:r>
      <w:r w:rsidR="00A83222">
        <w:rPr>
          <w:rFonts w:ascii="Times New Roman" w:hAnsi="Times New Roman"/>
          <w:sz w:val="28"/>
          <w:szCs w:val="28"/>
        </w:rPr>
        <w:t>.</w:t>
      </w:r>
      <w:r w:rsidRPr="002D7403">
        <w:rPr>
          <w:rFonts w:ascii="Times New Roman" w:hAnsi="Times New Roman"/>
          <w:sz w:val="28"/>
          <w:szCs w:val="28"/>
        </w:rPr>
        <w:t xml:space="preserve"> Список использованной литературы.</w:t>
      </w:r>
    </w:p>
    <w:p w:rsidR="002D7403" w:rsidRDefault="002D7403" w:rsidP="00356E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D7403" w:rsidRDefault="002D7403" w:rsidP="00356E3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55B2F" w:rsidRPr="00356E35" w:rsidRDefault="00F316F9" w:rsidP="00356E3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Рейтинговый контроль производится в форме защиты контрольной работы с представлением презентации ее содержания в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 w:rsidR="00356E35">
        <w:rPr>
          <w:rFonts w:ascii="Times New Roman" w:hAnsi="Times New Roman"/>
          <w:sz w:val="28"/>
          <w:szCs w:val="28"/>
        </w:rPr>
        <w:t>.</w:t>
      </w:r>
      <w:r w:rsidR="00414347">
        <w:rPr>
          <w:rFonts w:ascii="Times New Roman" w:hAnsi="Times New Roman"/>
          <w:sz w:val="28"/>
          <w:szCs w:val="28"/>
        </w:rPr>
        <w:t xml:space="preserve"> Контрольная работа предоставляется на кафедру «</w:t>
      </w:r>
      <w:r w:rsidR="002D7403">
        <w:rPr>
          <w:rFonts w:ascii="Times New Roman" w:hAnsi="Times New Roman"/>
          <w:sz w:val="28"/>
          <w:szCs w:val="28"/>
        </w:rPr>
        <w:t>Социальные и спортивные педагогические технологии</w:t>
      </w:r>
      <w:r w:rsidR="000C37D4">
        <w:rPr>
          <w:rFonts w:ascii="Times New Roman" w:hAnsi="Times New Roman"/>
          <w:sz w:val="28"/>
          <w:szCs w:val="28"/>
        </w:rPr>
        <w:t>» до итогового контроля</w:t>
      </w:r>
      <w:r w:rsidR="00414347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A55B2F" w:rsidRDefault="00A55B2F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5B2F" w:rsidRDefault="00A55B2F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Качество выполнения контрольной работы оценивается от 0 до 10 баллов: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 балла – тема не раскрыта, содержится информация, не имеющая отношения к теме контрольной работе; авторские выводы отсутствуют; не приводятся литературные примеры, отражающие суть исследуемого предмета; работа плохо оформлена, текст</w:t>
      </w:r>
      <w:r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очень малый объем реферата (1-2 страницы),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Pr="007B26D9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 контрольной работы.</w:t>
      </w:r>
    </w:p>
    <w:p w:rsidR="00A55B2F" w:rsidRPr="007B26D9" w:rsidRDefault="00A55B2F">
      <w:pPr>
        <w:pStyle w:val="a3"/>
        <w:pageBreakBefore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55B2F" w:rsidRPr="007B26D9" w:rsidRDefault="00F316F9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7B26D9"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Pr="007B26D9" w:rsidRDefault="00F316F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B26D9">
        <w:rPr>
          <w:rFonts w:ascii="Times New Roman" w:hAnsi="Times New Roman"/>
          <w:b/>
          <w:sz w:val="28"/>
          <w:szCs w:val="28"/>
        </w:rPr>
        <w:t xml:space="preserve">СПИСОК </w:t>
      </w:r>
    </w:p>
    <w:p w:rsidR="00A77956" w:rsidRDefault="00F316F9" w:rsidP="006A23E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B26D9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7B26D9">
        <w:rPr>
          <w:rFonts w:ascii="Times New Roman" w:hAnsi="Times New Roman"/>
          <w:b/>
          <w:sz w:val="28"/>
          <w:szCs w:val="28"/>
        </w:rPr>
        <w:t xml:space="preserve">по дисциплине </w:t>
      </w:r>
      <w:r w:rsidR="006A23E7" w:rsidRPr="007B26D9">
        <w:rPr>
          <w:rFonts w:ascii="Times New Roman" w:hAnsi="Times New Roman"/>
          <w:sz w:val="28"/>
          <w:szCs w:val="28"/>
        </w:rPr>
        <w:t xml:space="preserve"> </w:t>
      </w:r>
      <w:r w:rsidR="00111B93">
        <w:rPr>
          <w:rFonts w:ascii="Times New Roman" w:hAnsi="Times New Roman"/>
          <w:sz w:val="28"/>
          <w:szCs w:val="28"/>
        </w:rPr>
        <w:t>«</w:t>
      </w:r>
      <w:r w:rsidR="00627538">
        <w:rPr>
          <w:rFonts w:ascii="Times New Roman" w:hAnsi="Times New Roman"/>
          <w:b/>
          <w:sz w:val="28"/>
          <w:szCs w:val="28"/>
        </w:rPr>
        <w:t>Материально-техническое обеспечение спорта высших достижений»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998"/>
        <w:gridCol w:w="4265"/>
        <w:gridCol w:w="2423"/>
        <w:gridCol w:w="1432"/>
      </w:tblGrid>
      <w:tr w:rsidR="00627538" w:rsidRPr="00627538" w:rsidTr="0062753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en"/>
              </w:rPr>
              <w:t>6. УЧЕБНО-МЕТОДИЧЕСКОЕ И ИНФОРМАЦИОННОЕ ОБЕСПЕЧЕНИЕ ДИСЦИПЛИНЫ (МОДУЛЯ)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6.1. Рекомендуемая литература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6.1.1. Основная литература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Николаенко, А. В.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Спортивные сооружения: учеб.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М.: Просвещение, 1976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5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Резников, Н. М.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Комплексные спортивные сооружения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М.: Стройиздат, 1975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627538" w:rsidRPr="00627538" w:rsidTr="0062753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Фискалов, В.Д.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Спорт и система подготовки спортсменов: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учебник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Москва: Советский спорт,</w:t>
            </w:r>
            <w:r w:rsidRPr="00627538">
              <w:rPr>
                <w:rFonts w:eastAsia="Times New Roman"/>
                <w:lang w:val="en"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6.1.2. Дополнительная литература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627538" w:rsidRPr="00627538" w:rsidTr="0062753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Бабушкин, Г.Д.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Предсоревновательная подготовка спортсменов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высокой квалификации: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Омск: Издательство</w:t>
            </w:r>
            <w:r w:rsidRPr="00627538">
              <w:rPr>
                <w:rFonts w:eastAsia="Times New Roman"/>
                <w:lang w:val="en"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СибГУФК,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27538" w:rsidRPr="00627538" w:rsidTr="00627538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Физкультурно-оздоровительные и спортивные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сооружения: нормы, правила, рекомендации по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реконструкции, ремонту и техническому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 xml:space="preserve">обслуживанию/под ред. </w:t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Л.В. Аристовой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М.: Сов. спорт, 1998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1</w:t>
            </w:r>
          </w:p>
        </w:tc>
      </w:tr>
      <w:tr w:rsidR="00627538" w:rsidRPr="00627538" w:rsidTr="00627538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Бабушкин, Г.Д.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Интегральная подготовка спортсменов: учебное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пособие для магистрантов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Саратов: Вузовское</w:t>
            </w:r>
            <w:r w:rsidRPr="00627538">
              <w:rPr>
                <w:rFonts w:eastAsia="Times New Roman"/>
                <w:lang w:val="en"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образование,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27538" w:rsidRPr="00627538" w:rsidTr="00627538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Л2.4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Бабушкин, Г.Д.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Предсоревновательная подготовка спортсменов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высокой квалификации: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Омск: Сибирский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государственный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университет физической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культуры и спорта,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108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6.1.3. Методические разработки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</w:tbl>
    <w:tbl>
      <w:tblPr>
        <w:tblpPr w:leftFromText="180" w:rightFromText="180" w:vertAnchor="text" w:horzAnchor="margin" w:tblpY="1318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940"/>
        <w:gridCol w:w="1984"/>
        <w:gridCol w:w="2280"/>
        <w:gridCol w:w="2423"/>
        <w:gridCol w:w="426"/>
        <w:gridCol w:w="1007"/>
      </w:tblGrid>
      <w:tr w:rsidR="00627538" w:rsidRPr="00627538" w:rsidTr="0062753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627538" w:rsidRPr="00627538" w:rsidTr="00627538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4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Руководство для преподавателей по организации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и планированию различных видов занятий и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самостоятельной работы обучающихся в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Донском государственном техническом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университете: метод. указания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2018</w:t>
            </w:r>
          </w:p>
        </w:tc>
        <w:tc>
          <w:tcPr>
            <w:tcW w:w="14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en"/>
              </w:rPr>
              <w:t>6.2. Перечень ресурсов информационно-телекоммуникационной сети "Интернет"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1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Российское образование. Федеральный образовательный портал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1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Библиотека Гумер − гуманитарные науки</w:t>
            </w:r>
          </w:p>
        </w:tc>
      </w:tr>
      <w:tr w:rsidR="00627538" w:rsidRPr="00627538" w:rsidTr="00627538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101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Мировая цифровая библиотека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6.3 Перечень информационных технологий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6.3.1 Перечень программного обеспечения</w:t>
            </w:r>
          </w:p>
        </w:tc>
      </w:tr>
      <w:tr w:rsidR="00627538" w:rsidRPr="00627538" w:rsidTr="00627538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SQLSvrEntCore ALNG LicSAPk OLV 2Lic E 1Y Acdmc AP</w:t>
            </w:r>
          </w:p>
        </w:tc>
      </w:tr>
      <w:tr w:rsidR="00627538" w:rsidRPr="00627538" w:rsidTr="00627538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WinRmtDsktpSrvcsCAL ALNG LicSAPk OLV E 1Y Acdmc AP DvcCAL</w:t>
            </w:r>
          </w:p>
        </w:tc>
      </w:tr>
      <w:tr w:rsidR="00627538" w:rsidRPr="00627538" w:rsidTr="00627538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6.3.1.3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0365ProPlusOpenStudents ShrdSvr ALNG SubsVL OLV NL 1Mth Acdmc Stdnt w/Faculty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en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627538" w:rsidRPr="00627538" w:rsidTr="00627538">
        <w:trPr>
          <w:trHeight w:hRule="exact" w:val="283"/>
        </w:trPr>
        <w:tc>
          <w:tcPr>
            <w:tcW w:w="723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  <w:tc>
          <w:tcPr>
            <w:tcW w:w="58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  <w:tc>
          <w:tcPr>
            <w:tcW w:w="1940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  <w:tc>
          <w:tcPr>
            <w:tcW w:w="1984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  <w:tc>
          <w:tcPr>
            <w:tcW w:w="2280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  <w:tc>
          <w:tcPr>
            <w:tcW w:w="2423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  <w:tc>
          <w:tcPr>
            <w:tcW w:w="1007" w:type="dxa"/>
          </w:tcPr>
          <w:p w:rsidR="00627538" w:rsidRPr="00627538" w:rsidRDefault="00627538" w:rsidP="00627538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eastAsia="Times New Roman"/>
                <w:sz w:val="1"/>
                <w:szCs w:val="1"/>
                <w:lang w:eastAsia="en"/>
              </w:rPr>
            </w:pPr>
          </w:p>
        </w:tc>
      </w:tr>
      <w:tr w:rsidR="00627538" w:rsidRPr="00627538" w:rsidTr="00627538">
        <w:trPr>
          <w:trHeight w:hRule="exact" w:val="283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eastAsia="en"/>
              </w:rPr>
              <w:t>7. МАТЕРИАЛЬНО-ТЕХНИЧЕСКОЕ ОБЕСПЕЧЕНИЕ ДИСЦИПЛИНЫ (МОДУЛЯ)</w:t>
            </w:r>
          </w:p>
        </w:tc>
      </w:tr>
      <w:tr w:rsidR="00627538" w:rsidRPr="00627538" w:rsidTr="00627538">
        <w:trPr>
          <w:trHeight w:hRule="exact" w:val="712"/>
        </w:trPr>
        <w:tc>
          <w:tcPr>
            <w:tcW w:w="108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627538">
              <w:rPr>
                <w:rFonts w:eastAsia="Times New Roman"/>
                <w:lang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техническими средствами обучения согласно требованиям ФГОС, в т.ч.:</w:t>
            </w:r>
          </w:p>
        </w:tc>
      </w:tr>
      <w:tr w:rsidR="00627538" w:rsidRPr="00627538" w:rsidTr="00627538">
        <w:trPr>
          <w:trHeight w:hRule="exact" w:val="51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lastRenderedPageBreak/>
              <w:t>7.1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 xml:space="preserve">1. Помещения для проведения лекционных и практических занятий с учебной мебелью </w:t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(стол лектора, столы</w:t>
            </w:r>
            <w:r w:rsidRPr="00627538">
              <w:rPr>
                <w:rFonts w:eastAsia="Times New Roman"/>
                <w:lang w:val="en" w:eastAsia="en"/>
              </w:rPr>
              <w:br/>
            </w: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аудиторные, стулья аудиторные, доска аудиторная).</w:t>
            </w:r>
          </w:p>
        </w:tc>
      </w:tr>
      <w:tr w:rsidR="00627538" w:rsidRPr="00627538" w:rsidTr="00627538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eastAsia="Times New Roman"/>
                <w:sz w:val="19"/>
                <w:szCs w:val="19"/>
                <w:lang w:val="en"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7.2</w:t>
            </w:r>
          </w:p>
        </w:tc>
        <w:tc>
          <w:tcPr>
            <w:tcW w:w="100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27538" w:rsidRPr="00627538" w:rsidRDefault="00627538" w:rsidP="00627538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eastAsia="Times New Roman"/>
                <w:sz w:val="19"/>
                <w:szCs w:val="19"/>
                <w:lang w:eastAsia="en"/>
              </w:rPr>
            </w:pPr>
            <w:r w:rsidRPr="00627538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en"/>
              </w:rPr>
              <w:t>2. Технические средства обучения (мультимедийный проектор , ноутбук , настенный экран).</w:t>
            </w:r>
          </w:p>
        </w:tc>
      </w:tr>
    </w:tbl>
    <w:p w:rsidR="00627538" w:rsidRPr="00627538" w:rsidRDefault="00627538" w:rsidP="00627538">
      <w:pPr>
        <w:suppressAutoHyphens w:val="0"/>
        <w:autoSpaceDN/>
        <w:spacing w:after="200" w:line="276" w:lineRule="auto"/>
        <w:ind w:firstLine="0"/>
        <w:jc w:val="left"/>
        <w:textAlignment w:val="auto"/>
        <w:rPr>
          <w:rFonts w:eastAsia="Times New Roman"/>
          <w:sz w:val="0"/>
          <w:szCs w:val="0"/>
          <w:lang w:eastAsia="en"/>
        </w:rPr>
      </w:pPr>
      <w:r w:rsidRPr="00627538">
        <w:rPr>
          <w:rFonts w:eastAsia="Times New Roman"/>
          <w:lang w:eastAsia="en"/>
        </w:rPr>
        <w:br w:type="page"/>
      </w:r>
    </w:p>
    <w:p w:rsidR="00111B93" w:rsidRDefault="00111B93" w:rsidP="006A23E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111B93" w:rsidRPr="00627538" w:rsidRDefault="00111B93" w:rsidP="00111B93">
      <w:pPr>
        <w:suppressAutoHyphens w:val="0"/>
        <w:autoSpaceDN/>
        <w:spacing w:after="200" w:line="276" w:lineRule="auto"/>
        <w:ind w:firstLine="0"/>
        <w:jc w:val="left"/>
        <w:textAlignment w:val="auto"/>
        <w:rPr>
          <w:rFonts w:eastAsia="Times New Roman"/>
          <w:sz w:val="0"/>
          <w:szCs w:val="0"/>
          <w:lang w:eastAsia="en"/>
        </w:rPr>
        <w:sectPr w:rsidR="00111B93" w:rsidRPr="00627538" w:rsidSect="00111B93">
          <w:type w:val="continuous"/>
          <w:pgSz w:w="11907" w:h="16840"/>
          <w:pgMar w:top="530" w:right="567" w:bottom="530" w:left="567" w:header="530" w:footer="530" w:gutter="0"/>
          <w:cols w:space="720"/>
        </w:sectPr>
      </w:pPr>
      <w:r w:rsidRPr="00627538">
        <w:rPr>
          <w:rFonts w:eastAsia="Times New Roman"/>
          <w:lang w:eastAsia="en"/>
        </w:rPr>
        <w:br w:type="page"/>
      </w:r>
    </w:p>
    <w:p w:rsidR="00A55B2F" w:rsidRDefault="00F316F9" w:rsidP="00414347">
      <w:pPr>
        <w:spacing w:line="240" w:lineRule="auto"/>
        <w:ind w:firstLine="0"/>
        <w:jc w:val="right"/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A55B2F" w:rsidRDefault="00A55B2F">
      <w:pPr>
        <w:ind w:firstLine="0"/>
        <w:jc w:val="right"/>
        <w:rPr>
          <w:rFonts w:ascii="Times New Roman" w:hAnsi="Times New Roman"/>
          <w:b/>
          <w:sz w:val="28"/>
        </w:rPr>
      </w:pPr>
    </w:p>
    <w:p w:rsidR="00A55B2F" w:rsidRDefault="00F316F9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 ходе выполнения контрольной работы студенту необходимо подготовить презентацию, которая </w:t>
      </w:r>
      <w:r w:rsidR="00414347">
        <w:rPr>
          <w:rFonts w:ascii="Times New Roman" w:hAnsi="Times New Roman"/>
          <w:sz w:val="28"/>
        </w:rPr>
        <w:t>будет раскрывать выбранную тему, предоставить контрольную работу в электронном виде на кафедру «Социальная педагогика».</w:t>
      </w:r>
      <w:r>
        <w:rPr>
          <w:rFonts w:ascii="Times New Roman" w:hAnsi="Times New Roman"/>
          <w:sz w:val="28"/>
        </w:rPr>
        <w:t xml:space="preserve"> Необходимо обеспечить наличие различных средств визуализации информации. Этапы работы над данным проектом: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Проработка тематики контрольной работы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Поиск необходимых источников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Структурирование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Реализация каркаса презентации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spacing w:line="240" w:lineRule="auto"/>
        <w:contextualSpacing/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A55B2F" w:rsidSect="006A23E7"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3BA" w:rsidRDefault="002103BA">
      <w:pPr>
        <w:spacing w:line="240" w:lineRule="auto"/>
      </w:pPr>
      <w:r>
        <w:separator/>
      </w:r>
    </w:p>
  </w:endnote>
  <w:endnote w:type="continuationSeparator" w:id="0">
    <w:p w:rsidR="002103BA" w:rsidRDefault="002103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3BA" w:rsidRDefault="002103B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2103BA" w:rsidRDefault="002103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 w15:restartNumberingAfterBreak="0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 w15:restartNumberingAfterBreak="0">
    <w:nsid w:val="35C338AF"/>
    <w:multiLevelType w:val="multilevel"/>
    <w:tmpl w:val="A6825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2F"/>
    <w:rsid w:val="00044E52"/>
    <w:rsid w:val="00081092"/>
    <w:rsid w:val="000C37D4"/>
    <w:rsid w:val="000E5AD2"/>
    <w:rsid w:val="00111B93"/>
    <w:rsid w:val="00151511"/>
    <w:rsid w:val="002103BA"/>
    <w:rsid w:val="00230F9C"/>
    <w:rsid w:val="00267F0B"/>
    <w:rsid w:val="002D17E6"/>
    <w:rsid w:val="002D7403"/>
    <w:rsid w:val="00356E35"/>
    <w:rsid w:val="003F3191"/>
    <w:rsid w:val="00414347"/>
    <w:rsid w:val="00447160"/>
    <w:rsid w:val="00613A39"/>
    <w:rsid w:val="006159F4"/>
    <w:rsid w:val="00627538"/>
    <w:rsid w:val="006A23E7"/>
    <w:rsid w:val="006C6647"/>
    <w:rsid w:val="007B26D9"/>
    <w:rsid w:val="009D5CD8"/>
    <w:rsid w:val="00A55B2F"/>
    <w:rsid w:val="00A77956"/>
    <w:rsid w:val="00A83222"/>
    <w:rsid w:val="00C51C22"/>
    <w:rsid w:val="00CB54D8"/>
    <w:rsid w:val="00D011DB"/>
    <w:rsid w:val="00EE7CD3"/>
    <w:rsid w:val="00F3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CE03"/>
  <w15:docId w15:val="{4CA967C7-B79D-4A79-87E1-8AA8C830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2122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Горбаткова Ольга Ивановна</cp:lastModifiedBy>
  <cp:revision>2</cp:revision>
  <dcterms:created xsi:type="dcterms:W3CDTF">2025-08-21T09:29:00Z</dcterms:created>
  <dcterms:modified xsi:type="dcterms:W3CDTF">2025-08-21T09:29:00Z</dcterms:modified>
</cp:coreProperties>
</file>